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1E" w:rsidRPr="00285C74" w:rsidRDefault="00837F1E" w:rsidP="00837F1E">
      <w:pPr>
        <w:keepNext/>
        <w:spacing w:after="0" w:line="240" w:lineRule="auto"/>
        <w:ind w:left="-992" w:right="-437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C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</w:t>
      </w:r>
      <w:r w:rsidRPr="00285C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E0334B" wp14:editId="451CA042">
            <wp:extent cx="933450" cy="781050"/>
            <wp:effectExtent l="0" t="0" r="0" b="0"/>
            <wp:docPr id="316" name="Рисунок 316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1E" w:rsidRPr="00515BDF" w:rsidRDefault="00837F1E" w:rsidP="00837F1E">
      <w:pPr>
        <w:keepNext/>
        <w:spacing w:after="0" w:line="240" w:lineRule="auto"/>
        <w:ind w:left="-992" w:right="-437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5BDF">
        <w:rPr>
          <w:rFonts w:ascii="Times New Roman" w:eastAsia="Times New Roman" w:hAnsi="Times New Roman" w:cs="Times New Roman"/>
          <w:b/>
          <w:lang w:eastAsia="ru-RU"/>
        </w:rPr>
        <w:t>ДОНЕЦКАЯ НАРОДНАЯ РЕСПУБЛИКА</w:t>
      </w:r>
    </w:p>
    <w:p w:rsidR="00837F1E" w:rsidRPr="00515BDF" w:rsidRDefault="00837F1E" w:rsidP="0083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5BDF">
        <w:rPr>
          <w:rFonts w:ascii="Times New Roman" w:eastAsia="Times New Roman" w:hAnsi="Times New Roman" w:cs="Times New Roman"/>
          <w:b/>
          <w:lang w:eastAsia="ru-RU"/>
        </w:rPr>
        <w:t xml:space="preserve">АДМИНИСТРАЦИЯ ТЕЛЬМАНОВСКОГО </w:t>
      </w:r>
      <w:r>
        <w:rPr>
          <w:rFonts w:ascii="Times New Roman" w:eastAsia="Times New Roman" w:hAnsi="Times New Roman" w:cs="Times New Roman"/>
          <w:b/>
          <w:lang w:eastAsia="ru-RU"/>
        </w:rPr>
        <w:t>МУНИЦИПАЛЬНОГО ОКРУГА</w:t>
      </w:r>
    </w:p>
    <w:p w:rsidR="00837F1E" w:rsidRPr="00515BDF" w:rsidRDefault="00837F1E" w:rsidP="00837F1E">
      <w:pPr>
        <w:keepNext/>
        <w:spacing w:after="0" w:line="240" w:lineRule="auto"/>
        <w:ind w:left="-992" w:right="-437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5BDF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</w:t>
      </w:r>
    </w:p>
    <w:p w:rsidR="00837F1E" w:rsidRPr="00515BDF" w:rsidRDefault="00837F1E" w:rsidP="00837F1E">
      <w:pPr>
        <w:keepNext/>
        <w:spacing w:after="0" w:line="240" w:lineRule="auto"/>
        <w:ind w:left="-993" w:right="-434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5BDF">
        <w:rPr>
          <w:rFonts w:ascii="Times New Roman" w:eastAsia="Times New Roman" w:hAnsi="Times New Roman" w:cs="Times New Roman"/>
          <w:b/>
          <w:lang w:eastAsia="ru-RU"/>
        </w:rPr>
        <w:t>«ГРАНИТНЕНСКИЙ ЯСЛИ-САД «РОМАШКА»</w:t>
      </w:r>
    </w:p>
    <w:p w:rsidR="00837F1E" w:rsidRDefault="00837F1E" w:rsidP="00837F1E">
      <w:pPr>
        <w:spacing w:after="0" w:line="240" w:lineRule="auto"/>
        <w:ind w:left="-993" w:right="-4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5C74">
        <w:rPr>
          <w:rFonts w:ascii="Times New Roman" w:eastAsia="Times New Roman" w:hAnsi="Times New Roman" w:cs="Times New Roman"/>
          <w:sz w:val="24"/>
          <w:szCs w:val="24"/>
          <w:lang w:eastAsia="ru-RU"/>
        </w:rPr>
        <w:t>87123,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Донецкая Народная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Республика,  М.О.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5C74">
        <w:rPr>
          <w:rFonts w:ascii="Times New Roman" w:eastAsia="Times New Roman" w:hAnsi="Times New Roman" w:cs="Times New Roman"/>
          <w:sz w:val="24"/>
          <w:szCs w:val="24"/>
          <w:lang w:eastAsia="ru-RU"/>
        </w:rPr>
        <w:t>с.Гранитное</w:t>
      </w:r>
      <w:proofErr w:type="spellEnd"/>
      <w:r w:rsidRPr="0028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Самохина, дом 26,  </w:t>
      </w:r>
    </w:p>
    <w:p w:rsidR="00837F1E" w:rsidRPr="00515BDF" w:rsidRDefault="00837F1E" w:rsidP="00837F1E">
      <w:pPr>
        <w:spacing w:after="0" w:line="240" w:lineRule="auto"/>
        <w:ind w:left="-993" w:right="-43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5C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515B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+7(949) 599-16-25   e-mail: dnzgranitnoe@mail.ru</w:t>
      </w:r>
    </w:p>
    <w:p w:rsidR="00837F1E" w:rsidRPr="00515BDF" w:rsidRDefault="00837F1E" w:rsidP="00837F1E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285C7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3CDFE9" wp14:editId="1866E8FB">
                <wp:simplePos x="0" y="0"/>
                <wp:positionH relativeFrom="column">
                  <wp:posOffset>1270</wp:posOffset>
                </wp:positionH>
                <wp:positionV relativeFrom="paragraph">
                  <wp:posOffset>101600</wp:posOffset>
                </wp:positionV>
                <wp:extent cx="6041390" cy="0"/>
                <wp:effectExtent l="0" t="19050" r="54610" b="38100"/>
                <wp:wrapNone/>
                <wp:docPr id="314" name="Прямая соединительная линия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B76BF" id="Прямая соединительная линия 3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8pt" to="475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" o:allowincell="f" strokeweight="4.5pt">
                <v:stroke linestyle="thickThin"/>
              </v:line>
            </w:pict>
          </mc:Fallback>
        </mc:AlternateContent>
      </w:r>
      <w:r w:rsidRPr="00515BDF">
        <w:rPr>
          <w:rFonts w:ascii="Times New Roman" w:eastAsia="Times New Roman" w:hAnsi="Times New Roman" w:cs="Times New Roman"/>
          <w:lang w:val="en-US" w:eastAsia="ru-RU"/>
        </w:rPr>
        <w:t xml:space="preserve">      </w:t>
      </w:r>
    </w:p>
    <w:p w:rsidR="00837F1E" w:rsidRPr="005F4DDC" w:rsidRDefault="00837F1E" w:rsidP="00837F1E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2B69" w:rsidRPr="000D20B1" w:rsidRDefault="00A52B69" w:rsidP="00A52B69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837F1E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br/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4309"/>
      </w:tblGrid>
      <w:tr w:rsidR="00A52B69" w:rsidRPr="00837F1E" w:rsidTr="00A52B69">
        <w:tc>
          <w:tcPr>
            <w:tcW w:w="142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B69" w:rsidRPr="00837F1E" w:rsidRDefault="00A52B69" w:rsidP="00A52B69">
            <w:pPr>
              <w:spacing w:after="0" w:line="255" w:lineRule="atLeast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7F1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СОГЛАСОВАНО </w:t>
            </w:r>
            <w:r w:rsidRPr="00837F1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br/>
              <w:t>Педагогическим советом</w:t>
            </w:r>
          </w:p>
          <w:p w:rsidR="00A52B69" w:rsidRPr="00837F1E" w:rsidRDefault="00837F1E" w:rsidP="00837F1E">
            <w:pPr>
              <w:spacing w:after="0" w:line="255" w:lineRule="atLeast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7F1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(протокол от 30.08. 2024 № 1)</w:t>
            </w:r>
            <w:r w:rsidR="00A52B69" w:rsidRPr="00837F1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="00A52B69" w:rsidRPr="00837F1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</w:tc>
        <w:tc>
          <w:tcPr>
            <w:tcW w:w="110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B69" w:rsidRPr="00837F1E" w:rsidRDefault="00A52B69" w:rsidP="00A52B69">
            <w:pPr>
              <w:spacing w:after="0" w:line="255" w:lineRule="atLeast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7F1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УТВЕРЖДЕНЫ</w:t>
            </w:r>
            <w:r w:rsidRPr="00837F1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приказом МБДОУ </w:t>
            </w:r>
          </w:p>
          <w:p w:rsidR="00A52B69" w:rsidRPr="00837F1E" w:rsidRDefault="00837F1E" w:rsidP="00837F1E">
            <w:pPr>
              <w:spacing w:after="0" w:line="255" w:lineRule="atLeast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7F1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от 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30.08</w:t>
            </w:r>
            <w:r w:rsidRPr="00837F1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.2024 № 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61-од</w:t>
            </w:r>
            <w:r w:rsidR="00A52B69" w:rsidRPr="00837F1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</w:tc>
      </w:tr>
    </w:tbl>
    <w:p w:rsidR="00837F1E" w:rsidRPr="000D20B1" w:rsidRDefault="00A52B69" w:rsidP="00A52B69">
      <w:pPr>
        <w:spacing w:after="15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D20B1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Правила приема в МБДОУ </w:t>
      </w:r>
      <w:r w:rsidR="00837F1E" w:rsidRPr="000D20B1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«</w:t>
      </w:r>
      <w:proofErr w:type="spellStart"/>
      <w:r w:rsidR="00837F1E" w:rsidRPr="000D20B1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Гранитненский</w:t>
      </w:r>
      <w:proofErr w:type="spellEnd"/>
      <w:r w:rsidR="00837F1E" w:rsidRPr="000D20B1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ясли – сад «Ромашка»</w:t>
      </w:r>
    </w:p>
    <w:p w:rsidR="00A52B69" w:rsidRPr="000D20B1" w:rsidRDefault="00837F1E" w:rsidP="00A52B69">
      <w:pPr>
        <w:spacing w:after="15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D20B1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администрации </w:t>
      </w:r>
      <w:proofErr w:type="spellStart"/>
      <w:r w:rsidRPr="000D20B1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Тельмановского</w:t>
      </w:r>
      <w:proofErr w:type="spellEnd"/>
      <w:r w:rsidRPr="000D20B1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района</w:t>
      </w:r>
    </w:p>
    <w:p w:rsidR="00A52B69" w:rsidRPr="000D20B1" w:rsidRDefault="00A52B69" w:rsidP="00A52B69">
      <w:pPr>
        <w:spacing w:after="15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0D20B1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1. Общие положения  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1.1. Правила приема в МБДОУ</w:t>
      </w:r>
      <w:r w:rsidR="00837F1E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(далее — правила) разработаны в соответствии с </w:t>
      </w:r>
      <w:hyperlink r:id="rId6" w:anchor="/document/99/902389617/" w:history="1">
        <w:r w:rsidRPr="000D20B1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</w:rPr>
          <w:t>Федеральным законом от 29.12.2012 № 273-ФЗ</w:t>
        </w:r>
      </w:hyperlink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«Об образовании в Российской Федерации», Порядком приема на обучение по образовательным программам дошкольного образования, утвержденным </w:t>
      </w:r>
      <w:hyperlink r:id="rId7" w:anchor="/document/99/565068753/" w:history="1">
        <w:r w:rsidRPr="000D20B1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</w:rPr>
          <w:t xml:space="preserve">приказом </w:t>
        </w:r>
        <w:proofErr w:type="spellStart"/>
        <w:r w:rsidRPr="000D20B1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</w:rPr>
          <w:t>Минпросвещения</w:t>
        </w:r>
        <w:proofErr w:type="spellEnd"/>
        <w:r w:rsidRPr="000D20B1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</w:rPr>
          <w:t xml:space="preserve"> России от 15.05.2020 № 236</w:t>
        </w:r>
      </w:hyperlink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 </w:t>
      </w:r>
      <w:hyperlink r:id="rId8" w:anchor="/document/99/420332837/" w:history="1">
        <w:r w:rsidRPr="000D20B1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</w:rPr>
          <w:t xml:space="preserve">приказом </w:t>
        </w:r>
        <w:proofErr w:type="spellStart"/>
        <w:r w:rsidRPr="000D20B1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</w:rPr>
          <w:t>Минобрнауки</w:t>
        </w:r>
        <w:proofErr w:type="spellEnd"/>
        <w:r w:rsidRPr="000D20B1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</w:rPr>
          <w:t xml:space="preserve"> России от 28.12.2015 № 1527</w:t>
        </w:r>
      </w:hyperlink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, локальными нормативными актами МБДОУ «Детский сад № 1» (далее — детский сад).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1.2. Правила определяют требования к процедуре и условиям зачисления граждан РФ (далее — ребенок, дети), иностранных граждан в детский сад для обучения по образовательным программам дошкольного образования, дополнительным общеразвивающим программам</w:t>
      </w:r>
      <w:r w:rsidR="00837F1E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</w:t>
      </w:r>
      <w:r w:rsidR="00837F1E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села и района.</w:t>
      </w:r>
    </w:p>
    <w:p w:rsidR="00A52B69" w:rsidRPr="000D20B1" w:rsidRDefault="00A52B69" w:rsidP="00A52B69">
      <w:pPr>
        <w:spacing w:after="15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2. Организация приема на обучение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2.1. Прием в детский сад осуществляется в течение календарного года при наличии свободных мест.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2.2. Детский сад осуществляет прием всех детей, имеющих право на получение дошкольного образования, в возрасте с двух </w:t>
      </w:r>
      <w:r w:rsidR="00837F1E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лет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В приеме может быть отказано только при отсутствии свободных мест.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2.3. Льготы при зачислении, в том числе внеочередное, первоочередное, преимущественное право приема, а также порядок их применения определяются законодательством РФ.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2.4.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2.5.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2.6. Лицо, ответственное за прием документов, график личного приема заявлений и документов утверждаются приказом заведующего детским садом.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2.7. Приказ, указанный в пункте 2.6 правил, размещается на информационном стенде в детском саду и на официальном сайте детского сада в сети «Интернет» в течение трех рабочих дней со дня его издания.</w:t>
      </w:r>
    </w:p>
    <w:p w:rsidR="00A52B69" w:rsidRPr="000D20B1" w:rsidRDefault="00A52B69" w:rsidP="00837F1E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2.8. Лицо, ответственное за прием, обеспечивает своевременное размещение на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br/>
        <w:t>информационном стенде в детском саду и на официальном сайте детского сада в сети «Интернет»:  </w:t>
      </w:r>
    </w:p>
    <w:p w:rsidR="00A52B69" w:rsidRPr="000D20B1" w:rsidRDefault="00A52B69" w:rsidP="00A52B69">
      <w:pPr>
        <w:numPr>
          <w:ilvl w:val="0"/>
          <w:numId w:val="2"/>
        </w:numPr>
        <w:spacing w:after="0" w:line="24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настоящих правил;</w:t>
      </w:r>
    </w:p>
    <w:p w:rsidR="00A52B69" w:rsidRPr="000D20B1" w:rsidRDefault="00A52B69" w:rsidP="00A52B69">
      <w:pPr>
        <w:numPr>
          <w:ilvl w:val="0"/>
          <w:numId w:val="2"/>
        </w:numPr>
        <w:spacing w:after="0" w:line="24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копии устава </w:t>
      </w:r>
      <w:proofErr w:type="gramStart"/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МБДОУ ,</w:t>
      </w:r>
      <w:proofErr w:type="gramEnd"/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 w:rsidR="00A52B69" w:rsidRPr="000D20B1" w:rsidRDefault="00A52B69" w:rsidP="00A52B69">
      <w:pPr>
        <w:numPr>
          <w:ilvl w:val="0"/>
          <w:numId w:val="2"/>
        </w:numPr>
        <w:spacing w:after="0" w:line="24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информации о сроках приема документов, графика приема документов;</w:t>
      </w:r>
    </w:p>
    <w:p w:rsidR="00A52B69" w:rsidRPr="000D20B1" w:rsidRDefault="00A52B69" w:rsidP="00A52B69">
      <w:pPr>
        <w:numPr>
          <w:ilvl w:val="0"/>
          <w:numId w:val="2"/>
        </w:numPr>
        <w:spacing w:after="0" w:line="24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примерных форм заявлений о приеме в детский сад и образцов их заполнения;</w:t>
      </w:r>
    </w:p>
    <w:p w:rsidR="00A52B69" w:rsidRPr="000D20B1" w:rsidRDefault="00A52B69" w:rsidP="00A52B69">
      <w:pPr>
        <w:numPr>
          <w:ilvl w:val="0"/>
          <w:numId w:val="2"/>
        </w:numPr>
        <w:spacing w:after="0" w:line="24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 и образца ее заполнения;</w:t>
      </w:r>
    </w:p>
    <w:p w:rsidR="00837F1E" w:rsidRPr="000D20B1" w:rsidRDefault="00837F1E" w:rsidP="00A52B69">
      <w:pPr>
        <w:spacing w:after="15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52B69" w:rsidRPr="000D20B1" w:rsidRDefault="00A52B69" w:rsidP="00837F1E">
      <w:pPr>
        <w:spacing w:after="150" w:line="240" w:lineRule="auto"/>
        <w:contextualSpacing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3. </w:t>
      </w:r>
      <w:r w:rsidRPr="000D20B1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Порядок зачисления на обучение по основным образовательным программам</w:t>
      </w:r>
    </w:p>
    <w:p w:rsidR="00A52B69" w:rsidRPr="000D20B1" w:rsidRDefault="00A52B69" w:rsidP="00837F1E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br/>
        <w:t>дошкольного образования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3.1. Прием детей на обучение по образовательным программам дошкольного образования</w:t>
      </w:r>
      <w:r w:rsidR="00837F1E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осуществляется 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Форма заявления утверждается 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3.2. Для зачисления в детский сад родители (законные представители) детей дополнительно предъявляют следующие документы:</w:t>
      </w:r>
    </w:p>
    <w:p w:rsidR="00A52B69" w:rsidRPr="000D20B1" w:rsidRDefault="00A52B69" w:rsidP="00A52B69">
      <w:pPr>
        <w:numPr>
          <w:ilvl w:val="0"/>
          <w:numId w:val="3"/>
        </w:numPr>
        <w:spacing w:after="0" w:line="24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свидетельство о рождении ребенка или 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A52B69" w:rsidRPr="000D20B1" w:rsidRDefault="00A52B69" w:rsidP="00A52B69">
      <w:pPr>
        <w:numPr>
          <w:ilvl w:val="0"/>
          <w:numId w:val="3"/>
        </w:numPr>
        <w:spacing w:after="0" w:line="24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документ(-ы), удостоверяющий(е) личность ребенка и подтверждающий(е) законность представления прав ребенка – для иностранных граждан и лиц без гражданства;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3.3. При необходимости родители предъявляют:</w:t>
      </w:r>
    </w:p>
    <w:p w:rsidR="00A52B69" w:rsidRPr="000D20B1" w:rsidRDefault="00A52B69" w:rsidP="00A52B69">
      <w:pPr>
        <w:numPr>
          <w:ilvl w:val="0"/>
          <w:numId w:val="4"/>
        </w:numPr>
        <w:spacing w:after="0" w:line="24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документ, подтверждающий установление опеки;</w:t>
      </w:r>
    </w:p>
    <w:p w:rsidR="00A52B69" w:rsidRPr="000D20B1" w:rsidRDefault="00A52B69" w:rsidP="00A52B69">
      <w:pPr>
        <w:numPr>
          <w:ilvl w:val="0"/>
          <w:numId w:val="4"/>
        </w:numPr>
        <w:spacing w:after="0" w:line="24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документ психолого-медико-педагогической комиссии;</w:t>
      </w:r>
    </w:p>
    <w:p w:rsidR="00A52B69" w:rsidRPr="000D20B1" w:rsidRDefault="00A52B69" w:rsidP="00837F1E">
      <w:pPr>
        <w:numPr>
          <w:ilvl w:val="0"/>
          <w:numId w:val="4"/>
        </w:numPr>
        <w:spacing w:after="0" w:line="24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документ, подтверждающий потребность в обучении в группе оздоровительной направленности.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3.</w:t>
      </w:r>
      <w:r w:rsidR="00837F1E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Лицо, ответственное за прием документов, делает копии предъявляемых при приеме документов, которые хранятся в детском саду.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3.</w:t>
      </w:r>
      <w:r w:rsidR="00837F1E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Форма заявления утверждается заведующим детским садом 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A52B69" w:rsidRPr="000D20B1" w:rsidRDefault="00A52B69" w:rsidP="00837F1E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3.7. Для зачисления в порядке перевода из 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3.</w:t>
      </w:r>
      <w:r w:rsidR="00837F1E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8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3.</w:t>
      </w:r>
      <w:r w:rsidR="00837F1E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9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При приеме заявления о приеме в детский сад (заявления о приеме в порядке перевода из другой организации) лицо, ответственное за прием документов, знакомит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 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3.1</w:t>
      </w:r>
      <w:r w:rsidR="0041377C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 w:rsidR="0041377C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3.1</w:t>
      </w:r>
      <w:r w:rsidR="0041377C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</w:t>
      </w:r>
      <w:proofErr w:type="gramStart"/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приеме</w:t>
      </w:r>
      <w:r w:rsidR="0041377C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proofErr w:type="gramEnd"/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3.1</w:t>
      </w:r>
      <w:r w:rsidR="0041377C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:rsidR="00A52B69" w:rsidRPr="000D20B1" w:rsidRDefault="00A52B69" w:rsidP="0041377C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3.1</w:t>
      </w:r>
      <w:r w:rsidR="0041377C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С родителями (законными представителями) детей, которые сдали полный комплект документов, предусмотренных настоящими правилами, в течение 5 рабочих дней 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 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3.1</w:t>
      </w:r>
      <w:r w:rsidR="0041377C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Зачисление ребенка в детский сад оформляется приказом руководителя в течение трех рабочих дней после заключения договора, указанного в пункте 3.1</w:t>
      </w:r>
      <w:r w:rsidR="0041377C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3 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правил.</w:t>
      </w:r>
    </w:p>
    <w:p w:rsidR="00A52B69" w:rsidRPr="000D20B1" w:rsidRDefault="00A52B69" w:rsidP="00A52B69">
      <w:p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3.1</w:t>
      </w:r>
      <w:r w:rsidR="0041377C"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Pr="000D20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На каждого зачисленного в детский сад ребенка, за исключением зачисленных в порядке перевода из другой организации, формируется личное дело, в котором хранятся все полученные при приеме документы. </w:t>
      </w:r>
    </w:p>
    <w:bookmarkEnd w:id="0"/>
    <w:p w:rsidR="00741C58" w:rsidRPr="000D20B1" w:rsidRDefault="00741C58">
      <w:pP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sectPr w:rsidR="00741C58" w:rsidRPr="000D20B1" w:rsidSect="00837F1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165D6"/>
    <w:multiLevelType w:val="multilevel"/>
    <w:tmpl w:val="2700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A6991"/>
    <w:multiLevelType w:val="multilevel"/>
    <w:tmpl w:val="48D4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A291E"/>
    <w:multiLevelType w:val="multilevel"/>
    <w:tmpl w:val="267E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42619"/>
    <w:multiLevelType w:val="multilevel"/>
    <w:tmpl w:val="82DE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09"/>
    <w:rsid w:val="00073009"/>
    <w:rsid w:val="000D20B1"/>
    <w:rsid w:val="0041377C"/>
    <w:rsid w:val="00741C58"/>
    <w:rsid w:val="00837F1E"/>
    <w:rsid w:val="00A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9CFF-6B6E-430F-8A59-B7448F27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37F1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17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09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46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2024-05-27T08:06:00Z</dcterms:created>
  <dcterms:modified xsi:type="dcterms:W3CDTF">2024-05-29T07:17:00Z</dcterms:modified>
</cp:coreProperties>
</file>